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356</w:t>
      </w:r>
    </w:p>
    <w:p>
      <w:r>
        <w:t>Bundesgericht (BGE), 2022-03-04, DE</w:t>
      </w:r>
    </w:p>
    <w:p>
      <w:r>
        <w:rPr>
          <w:b/>
        </w:rPr>
        <w:t xml:space="preserve">Quelle: </w:t>
      </w:r>
      <w:r>
        <w:t>https://mcp.opencaselaw.ch/entscheid/bge_148 IV 356</w:t>
      </w:r>
    </w:p>
    <w:p>
      <w:r>
        <w:t>FR: ATF 148 IV 356</w:t>
      </w:r>
    </w:p>
    <w:p>
      <w:r>
        <w:t>IT: DTF 148 IV 356</w:t>
      </w:r>
    </w:p>
    <w:p>
      <w:pPr>
        <w:pStyle w:val="Heading2"/>
      </w:pPr>
      <w:r>
        <w:t>Regeste</w:t>
      </w:r>
    </w:p>
    <w:p>
      <w:r>
        <w:t>Regeste Art. 6 und 195 Abs. 2 StPO; Untersuchungsgrundsatz; Einholen von Berichten und Auskünften; Auskünfte über Vorstrafen und den Leumund der beschuldigten Person. Das Sachgericht hat vor Erlass des Urteils einen aktuellen Strafregisterauszug über die beschuldigte Person einzuholen (E. 2.3). Ein Strafregisterauszug, der zum Zeitpunkt des Urteils 8 Monate alt ist, erfüllt diese Voraussetzung nicht (E. 2.4.2).</w:t>
      </w:r>
    </w:p>
    <w:p>
      <w:pPr>
        <w:pStyle w:val="Heading2"/>
      </w:pPr>
      <w:r>
        <w:t>Erwägungen</w:t>
      </w:r>
    </w:p>
    <w:p>
      <w:r>
        <w:rPr>
          <w:b/>
        </w:rPr>
        <w:t>E. 2</w:t>
      </w:r>
    </w:p>
    <w:p>
      <w:r>
        <w:t>Die Vorinstanz erwägt bei der Strafzumessung, dass der Beschwerdegegner seit Oktober 2017 nicht mehr delinquiert habe. Die Beschwerdeführerin wendet sich gegen diese Feststellung und macht geltend, in Wahrheit habe sich der Beschwerdegegner am 21. Juli 2021 der einfachen Körperverletzung, Nötigung und Freiheitsberaubung zum Nachteil seiner damaligen Freundin schuldig gemacht.</w:t>
      </w:r>
    </w:p>
    <w:p>
      <w:r>
        <w:rPr>
          <w:b/>
        </w:rPr>
        <w:t>E. 2.1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 BGE 146 IV 88 E. 1.3.1 mit Hinweisen). Willkürlich ist BGE 148 IV 356 S. 358 auch eine Beweiswürdigung, welche mit den Akten in klarem Widerspruch steht oder einseitig einzelne Beweise berücksichtigt ( BGE 118 Ia 28 E. 1b; Urteile 6B_257/2020 / 6B_298/2020 vom 24. Juni 2021 E. 4.2.4, nicht publ. in: BGE 147 IV 409 ; 6B_17/2016 vom 18. Juli 2017 E. 1.3.2; 6B_676/2016 vom 16. Februar 2017 E. 1.3; 6B_288/ 2015 vom 12. Oktober 2015 E. 1.2; je mit Hinweisen). Die Willkürrüge muss in der Beschwerde explizit vorgebracht und substanziiert begründet werden ( Art. 106 Abs. 2 BGG ). Auf ungenügend begründete Rügen oder allgemeine appellatorische Kritik am angefochtenen Entscheid tritt das Bundesgericht nicht ein ( BGE 146 IV 88 E. 1.3.1 mit Hinweisen).</w:t>
      </w:r>
    </w:p>
    <w:p>
      <w:r>
        <w:rPr>
          <w:b/>
        </w:rPr>
        <w:t>E. 2.2</w:t>
      </w:r>
    </w:p>
    <w:p>
      <w:r>
        <w:t>Die Beschwerdeführerin rügt eine Verletzung von Art. 6 Abs. 1, Art. 195 Abs. 2 sowie Art. 84 Abs. 3 und 4 StPO . Sie macht der Vorinstanz zum Vorwurf, dass sie keinen aktuellen Strafregisterauszug eingeholt und deshalb den Sachverhalt offensichtlich unrichtig festgestellt habe.</w:t>
      </w:r>
    </w:p>
    <w:p>
      <w:r>
        <w:rPr>
          <w:b/>
        </w:rPr>
        <w:t>E. 2.3.1</w:t>
      </w:r>
    </w:p>
    <w:p>
      <w:r>
        <w:t>Die Strafbehörden klären von Amtes wegen alle für die Beurteilung der Tat und der beschuldigten Person bedeutsamen Tatsachen ab ( Art. 6 Abs. 1 StPO ). Zur Abklärung der persönlichen Verhältnisse der beschuldigten Person holen Staatsanwaltschaft und Gerichte Auskünfte über Vorstrafen und den Leumund sowie weitere sachdienliche Berichte von Amtsstellen und Privaten ein ( Art. 195 Abs. 2 StPO ). Art. 195 Abs. 2 StPO steht in Zusammenhang mit Art. 161 StPO , wonach die Staatsanwaltschaft die beschuldigte Person grundsätzlich nur dann über ihre persönlichen Verhältnisse befragt, wenn mit einer Anklage oder einem Strafbefehl zu rechnen ist. Dieser Bestimmung liegt der Gedanke zu Grunde, dass Fragen über die persönlichen Verhältnisse die Privatsphäre der beschuldigten Person berühren. Solange noch offen ist, ob die Untersuchung in eine Anklage oder einen Strafbefehl münden wird, soll die Staatsanwaltschaft die beschuldigte Person grundsätzlich nicht über die persönlichen Verhältnisse einvernehmen (Botschaft vom 21. Dezember 2005 zur Vereinheitlichung des Strafprozessrechts, BBl 2006 1195 Ziff. 2.4.2). Diesen Überlegungen ist auch bei der Anwendung von Art. 195 Abs. 2 StPO Rechnung zu tragen (MARTIN BÜRGISSER, in: Basler Kommentar, Schweizerische Strafprozessordnung, 2. Aufl. 2014, N. 7 zu Art. 195 StPO ). Dies bedeutet umgekehrt, dass das BGE 148 IV 356 S. 359 Berufungsgericht einen aktuellen Strafregisterauszug einzuholen hat, wenn die beschuldigte Person sanktioniert wird.</w:t>
      </w:r>
    </w:p>
    <w:p>
      <w:r>
        <w:rPr>
          <w:b/>
        </w:rPr>
        <w:t>E. 2.3.2</w:t>
      </w:r>
    </w:p>
    <w:p>
      <w:r>
        <w:t>In das Strafregister-Informationssystem VOSTRA werden Personen eingetragen, gegen die in der Schweiz ein Strafverfahren wegen Verbrechen oder Vergehen nach Bundesrecht hängig ist. Angegeben werden die Personalien der beschuldigten Person, das Datum der Eröffnung des Strafverfahrens, die zuständige Verfahrensleitung und die der beschuldigten Person vorgeworfenen Straftaten ( Art. 366 Abs. 4 StGB sowie Art. 7 lit. a der Verordnung vom 29. September 2006 über das Strafregister [VOSTRA-Verordnung; SR 331]). Bei hängigen Strafverfahren sind die Daten innert zwei Wochen seit Eröffnung des Strafverfahrens beziehungsweise seit Eintritt der Änderung in das Strafregister-Informationssystem einzutragen (Art. 11 Abs. 3 VOSTRA-Verordnung). Die Strafjustizbehörden dürfen durch ein Abrufverfahren Einsicht in die Personendaten über Urteile nehmen (Art. 367 Abs. 2 lit. a i.V.m. Abs. 1 lit. b StGB). Unter den Begriff der Strafjustizbehörden fallen auch die Strafgerichte (ARNOLD/GRUBER, in: Basler Kommentar, Strafrecht, Bd. II, 4. Aufl. 2019, N. 21 zu Art. 367 StGB ).</w:t>
      </w:r>
    </w:p>
    <w:p>
      <w:r>
        <w:rPr>
          <w:b/>
        </w:rPr>
        <w:t>E. 2.3.3</w:t>
      </w:r>
    </w:p>
    <w:p>
      <w:r>
        <w:t>Das Gericht zieht sich nach dem Abschluss der Parteiverhandlungen zur geheimen Urteilsberatung zurück ( Art. 348 Abs. 1 StPO ). Ist der Fall noch nicht spruchreif, so entscheidet das Gericht, die Beweise zu ergänzen und die Parteiverhandlungen wieder aufzunehmen ( Art. 349 StPO ). Das Gericht eröffnet sein Urteil nach den Bestimmungen von Art. 84 StPO ( Art. 351 Abs. 3 StPO ). Kann das Gericht das Urteil nicht sofort fällen, so holt es dies so bald als möglich nach und eröffnet das Urteil in einer neu angesetzten Hauptverhandlung. Verzichten die Parteien in diesem Fall auf eine öffentliche Urteilsverkündung, so stellt ihnen das Gericht das Dispositiv sofort nach der Urteilsfällung zu ( Art. 84 Abs. 3 StPO ). Muss das Gericht das Urteil begründen, so stellt es innert 60 Tagen, ausnahmsweise 90 Tagen, der beschuldigten Person und der Staatsanwaltschaft das vollständige begründete Urteil zu ( Art. 84 Abs. 4 StPO ; vgl. auch SARARARD ARQUINT, in: Basler Kommentar, Schweizerische Strafprozessordnung, 2. Aufl. 2014, N. 6 ff. zu Art. 84 StPO ). Erkennt das Gericht erst anlässlich der Urteilsberatung, dass der Fall noch nicht spruchreif ist, hat es Beweisergänzungen zu beschliessen. BGE 148 IV 356 S. 360 Nach Massgabe der eidgenössischen Strafprozessordnung hat das Gericht die Beweisergänzungen zwingend selbst durchzuführen, sodass eine diesbezügliche Delegation an die Staatsanwaltschaft ausser Betracht fällt (SCHMID/JOSITSCH, Handbuch des schweizerischen Strafprozessrechts, 3. Aufl. 2017, Rz. 1339; HEIMGARTNER/NIGGLI, in: Basler Kommentar, Schweizerische Strafprozessordnung, 2. Aufl. 2014, N. 1 und 5 zu Art. 349 StPO ).</w:t>
      </w:r>
    </w:p>
    <w:p>
      <w:r>
        <w:rPr>
          <w:b/>
        </w:rPr>
        <w:t>E. 2.4</w:t>
      </w:r>
    </w:p>
    <w:p>
      <w:r>
        <w:t>Die Rüge der Beschwerdeführerin ist begründet.</w:t>
      </w:r>
    </w:p>
    <w:p>
      <w:r>
        <w:rPr>
          <w:b/>
        </w:rPr>
        <w:t>E. 2.4.1</w:t>
      </w:r>
    </w:p>
    <w:p>
      <w:r>
        <w:t>Am 8. März 2021 und am 10. März 2021 erklärte zuerst die Staatsanwaltschaft und dann die Privatklägerin Berufung. Der Beschwerdegegner beantragte am 30. März 2021 Nichteintreten und erhob Anschlussberufung. Am 15. Juni 2021 holte die Vorinstanz einen Strafregisterauszug ein und lud die Parteien zur Berufungsverhandlung vom 6. Oktober 2021 vor. Wenige Tage vor der Berufungsverhandlung traf am 29. September 2021 bei der Staatsanwaltschaft des Kantons Wallis, Amt der Region Oberwallis, ein neuer Verzeigungsbericht gegen den Beschwerdegegner ein. Es ging um Tätlichkeiten, Nötigung und Freiheitsberaubung. Der entsprechende Strafregistereintrag erfolgte am 5. Oktober 2021, also einen Tag vor der Berufungsverhandlung. Mit Strafbefehl vom 6. November 2021 verurteilte die Staatsanwaltschaft den Beschwerdegegner wegen einfacher Körperverletzung, Nötigung und Freiheitsberaubung. Diese Straftaten hatte der Beschwerdegegner am 21. Juli 2021 zum Nachteil seiner damaligen Freundin begangen. Der Strafbefehl blieb unangefochten und wuchs am 22. November 2021 in Rechtskraft. Erst am 4. März 2022 erging das Urteil der Vorinstanz.</w:t>
      </w:r>
    </w:p>
    <w:p>
      <w:r>
        <w:rPr>
          <w:b/>
        </w:rPr>
        <w:t>E. 2.4.2</w:t>
      </w:r>
    </w:p>
    <w:p>
      <w:r>
        <w:t>Die Vorinstanz trägt in ihrer Vernehmlassung vor, sie habe keine Kenntnis oder Mitteilung erhalten, dass bei der Staatsanwaltschaft ein Strafverfahren hängig und mit Strafbefehl abgeschlossen worden sei. Damit weist sie auf den entscheidenden Punkt hin. Denn sie hätte vor dem Erlass des angefochtenen Urteils einen aktuellen Strafregisterauszug über den Beschwerdegegner einholen müssen. Auf diese Weise hätte sie erkannt, dass seit dem 29. September 2021 ein weiteres Strafverfahren gegen ihn hängig war. Nachdem am 6. November 2021 der Strafbefehl ergangen war, hätte die Vorinstanz erkennen können, dass der Beschwerdegegner verurteilt worden war, weil er am 21. Juli 2021 eine einfache Körperverletzung, BGE 148 IV 356 S. 361 Nötigung und Freiheitsberaubung zum Nachteil seiner damaligen Freundin begangen hatte. Nach dem 22. November 2021 wäre für die Vorinstanz ersichtlich gewesen, dass der Strafbefehl in Rechtskraft erwachsen war. Bei der Strafzumessung mass die Vorinstanz dem Umstand Bedeutung zu, dass der Beschwerdegegner angeblich seit Oktober 2017 nicht mehr delinquiert habe. Diese Feststellung hätte sie nicht gestützt auf einen Strafregisterauszug treffen dürfen, der zum Zeitpunkt der Berufungsverhandlung vom 6. Oktober 2021 über drei Monate und im für den Entscheid wesentlichen Zeitpunkt des angefochtenen Urteils vom 4. März 2022 über acht Monate alt war. Vielmehr war sie gestützt auf Art. 195 Abs. 2 StPO dazu verpflichtet, zur Abklärung der persönlichen Verhältnisse des Beschwerdegegners einen aktuellen Strafregisterauszug einzuholen. Dies, zumal für die Vorinstanz von Gewicht war, dass der Beschwerdegegner angeblich seit Oktober 2017 deliktfrei war. Unter diesen Umständen hätte sie erkennen müssen, dass die Beweise gemäss Art. 349 i.V.m. Art. 405 Abs. 1 StPO um einen aktuellen Strafregisterauszug zu ergänzen sind. Dies gilt umso mehr, als seit der Berufungsverhandlung einige Zeit verstrichen war und die Vorinstanz die Ordnungsvorschrift von Art. 84 Abs. 4 StPO nicht einhielt. Denn das vollständige begründete Urteil liess länger als 90 Tage auf sich warten.</w:t>
      </w:r>
    </w:p>
    <w:p>
      <w:r>
        <w:rPr>
          <w:b/>
        </w:rPr>
        <w:t>E. 2.4.3</w:t>
      </w:r>
    </w:p>
    <w:p>
      <w:r>
        <w:t>Nach dem Gesagten verletzte die Vorinstanz Art. 195 Abs. 2 StPO , indem sie es versäumte, einen aktuellen Strafregisterauszug über den Beschwerdegegner einzuholen. Dadurch stellte sie die persönlichen Verhältnisse des Beschwerdegegners offensichtlich unrichtig fest, indem sie annahm, er habe seit Oktober 2017 nicht mehr delinquiert. Die Behebung dieses Mangels kann für den Ausgang des Verfahrens entscheidend sein. Denn bei korrekter Feststellung der persönlichen Verhältnisse ist ein anderes Ergebnis der Strafzumessung wahrscheinlich. Dies gilt namentlich für den Strafaufschub.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